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06418" w14:textId="318F5333" w:rsidR="00DD3AE5" w:rsidRDefault="00867037" w:rsidP="00DD3AE5">
      <w:pPr>
        <w:jc w:val="center"/>
        <w:rPr>
          <w:lang w:val="en-US"/>
        </w:rPr>
      </w:pPr>
      <w:r w:rsidRPr="00867037">
        <w:rPr>
          <w:b/>
          <w:bCs/>
          <w:sz w:val="28"/>
          <w:szCs w:val="28"/>
          <w:lang w:val="en-US"/>
        </w:rPr>
        <w:t>BANKING REGULATIONS AND BUSINESS LAWS</w:t>
      </w:r>
    </w:p>
    <w:tbl>
      <w:tblPr>
        <w:tblW w:w="10632" w:type="dxa"/>
        <w:tblInd w:w="-998" w:type="dxa"/>
        <w:tblLook w:val="04A0" w:firstRow="1" w:lastRow="0" w:firstColumn="1" w:lastColumn="0" w:noHBand="0" w:noVBand="1"/>
      </w:tblPr>
      <w:tblGrid>
        <w:gridCol w:w="1135"/>
        <w:gridCol w:w="9497"/>
      </w:tblGrid>
      <w:tr w:rsidR="00DD3AE5" w:rsidRPr="00DD3AE5" w14:paraId="1C4FCD39" w14:textId="77777777" w:rsidTr="00A23CEF">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84A7" w14:textId="485C66A3" w:rsidR="00DD3AE5" w:rsidRPr="00DD3AE5" w:rsidRDefault="00DD3AE5" w:rsidP="00DD3AE5">
            <w:pPr>
              <w:spacing w:after="0" w:line="240" w:lineRule="auto"/>
              <w:jc w:val="center"/>
              <w:rPr>
                <w:rFonts w:ascii="Calibri" w:eastAsia="Times New Roman" w:hAnsi="Calibri" w:cs="Calibri"/>
                <w:b/>
                <w:bCs/>
                <w:color w:val="000000"/>
                <w:kern w:val="0"/>
                <w:sz w:val="24"/>
                <w:szCs w:val="24"/>
                <w:lang w:eastAsia="en-IN"/>
                <w14:ligatures w14:val="none"/>
              </w:rPr>
            </w:pPr>
            <w:r w:rsidRPr="00DD3AE5">
              <w:rPr>
                <w:rFonts w:ascii="Calibri" w:eastAsia="Times New Roman" w:hAnsi="Calibri" w:cs="Calibri"/>
                <w:b/>
                <w:bCs/>
                <w:color w:val="000000"/>
                <w:kern w:val="0"/>
                <w:sz w:val="24"/>
                <w:szCs w:val="24"/>
                <w:lang w:eastAsia="en-IN"/>
                <w14:ligatures w14:val="none"/>
              </w:rPr>
              <w:t>Sr. No.</w:t>
            </w:r>
          </w:p>
        </w:tc>
        <w:tc>
          <w:tcPr>
            <w:tcW w:w="9497" w:type="dxa"/>
            <w:tcBorders>
              <w:top w:val="single" w:sz="4" w:space="0" w:color="auto"/>
              <w:left w:val="nil"/>
              <w:bottom w:val="single" w:sz="4" w:space="0" w:color="auto"/>
              <w:right w:val="single" w:sz="4" w:space="0" w:color="auto"/>
            </w:tcBorders>
            <w:shd w:val="clear" w:color="auto" w:fill="auto"/>
            <w:vAlign w:val="center"/>
          </w:tcPr>
          <w:p w14:paraId="7560C418" w14:textId="0853C188" w:rsidR="00DD3AE5" w:rsidRPr="00DD3AE5" w:rsidRDefault="00DD3AE5" w:rsidP="00DD3AE5">
            <w:pPr>
              <w:spacing w:after="0" w:line="240" w:lineRule="auto"/>
              <w:jc w:val="center"/>
              <w:rPr>
                <w:rFonts w:ascii="Calibri" w:eastAsia="Times New Roman" w:hAnsi="Calibri" w:cs="Calibri"/>
                <w:b/>
                <w:bCs/>
                <w:color w:val="000000"/>
                <w:kern w:val="0"/>
                <w:sz w:val="24"/>
                <w:szCs w:val="24"/>
                <w:lang w:eastAsia="en-IN"/>
                <w14:ligatures w14:val="none"/>
              </w:rPr>
            </w:pPr>
            <w:r w:rsidRPr="00DD3AE5">
              <w:rPr>
                <w:rFonts w:ascii="Calibri" w:eastAsia="Times New Roman" w:hAnsi="Calibri" w:cs="Calibri"/>
                <w:b/>
                <w:bCs/>
                <w:color w:val="000000"/>
                <w:kern w:val="0"/>
                <w:sz w:val="24"/>
                <w:szCs w:val="24"/>
                <w:lang w:eastAsia="en-IN"/>
                <w14:ligatures w14:val="none"/>
              </w:rPr>
              <w:t>RBI Notifications</w:t>
            </w:r>
          </w:p>
        </w:tc>
      </w:tr>
      <w:tr w:rsidR="00DD3AE5" w:rsidRPr="00DD3AE5" w14:paraId="40AEB63F" w14:textId="77777777" w:rsidTr="00A23CEF">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2A4EE" w14:textId="5C0A9C85" w:rsidR="00DD3AE5" w:rsidRPr="00DD3AE5" w:rsidRDefault="00DD3AE5" w:rsidP="00DD3AE5">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497" w:type="dxa"/>
            <w:tcBorders>
              <w:top w:val="single" w:sz="4" w:space="0" w:color="auto"/>
              <w:left w:val="nil"/>
              <w:bottom w:val="single" w:sz="4" w:space="0" w:color="auto"/>
              <w:right w:val="single" w:sz="4" w:space="0" w:color="auto"/>
            </w:tcBorders>
            <w:shd w:val="clear" w:color="auto" w:fill="auto"/>
            <w:vAlign w:val="center"/>
          </w:tcPr>
          <w:p w14:paraId="7E7DF1B5" w14:textId="55CAF3AE" w:rsidR="00DD3AE5" w:rsidRPr="00DD3AE5" w:rsidRDefault="00DD3AE5" w:rsidP="00DD3AE5">
            <w:pPr>
              <w:spacing w:after="0" w:line="240" w:lineRule="auto"/>
              <w:rPr>
                <w:rFonts w:ascii="Calibri" w:eastAsia="Times New Roman" w:hAnsi="Calibri" w:cs="Calibri"/>
                <w:color w:val="000000"/>
                <w:kern w:val="0"/>
                <w:sz w:val="24"/>
                <w:szCs w:val="24"/>
                <w:lang w:eastAsia="en-IN"/>
                <w14:ligatures w14:val="none"/>
              </w:rPr>
            </w:pPr>
            <w:r w:rsidRPr="00DD3AE5">
              <w:rPr>
                <w:rFonts w:ascii="Calibri" w:eastAsia="Times New Roman" w:hAnsi="Calibri" w:cs="Calibri"/>
                <w:color w:val="000000"/>
                <w:kern w:val="0"/>
                <w:sz w:val="24"/>
                <w:szCs w:val="24"/>
                <w:lang w:eastAsia="en-IN"/>
                <w14:ligatures w14:val="none"/>
              </w:rPr>
              <w:t>Master Direction - Reserve Bank of India (Acquisition and Holding of Shares or Voting Rights in Banking Companies) Directions, 2023</w:t>
            </w:r>
          </w:p>
        </w:tc>
      </w:tr>
      <w:tr w:rsidR="00DD3AE5" w:rsidRPr="00DD3AE5" w14:paraId="2DD046EA" w14:textId="77777777" w:rsidTr="00A23CEF">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C80CAF7" w14:textId="55FFFC98" w:rsidR="00DD3AE5" w:rsidRPr="00DD3AE5" w:rsidRDefault="00DD3AE5" w:rsidP="00DD3AE5">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497" w:type="dxa"/>
            <w:tcBorders>
              <w:top w:val="nil"/>
              <w:left w:val="nil"/>
              <w:bottom w:val="single" w:sz="4" w:space="0" w:color="auto"/>
              <w:right w:val="single" w:sz="4" w:space="0" w:color="auto"/>
            </w:tcBorders>
            <w:shd w:val="clear" w:color="auto" w:fill="auto"/>
            <w:vAlign w:val="center"/>
            <w:hideMark/>
          </w:tcPr>
          <w:p w14:paraId="33F7359B" w14:textId="77777777" w:rsidR="00DD3AE5" w:rsidRPr="00DD3AE5" w:rsidRDefault="00DD3AE5" w:rsidP="00DD3AE5">
            <w:pPr>
              <w:spacing w:after="0" w:line="240" w:lineRule="auto"/>
              <w:rPr>
                <w:rFonts w:ascii="Calibri" w:eastAsia="Times New Roman" w:hAnsi="Calibri" w:cs="Calibri"/>
                <w:color w:val="000000"/>
                <w:kern w:val="0"/>
                <w:sz w:val="24"/>
                <w:szCs w:val="24"/>
                <w:lang w:eastAsia="en-IN"/>
                <w14:ligatures w14:val="none"/>
              </w:rPr>
            </w:pPr>
            <w:r w:rsidRPr="00DD3AE5">
              <w:rPr>
                <w:rFonts w:ascii="Calibri" w:eastAsia="Times New Roman" w:hAnsi="Calibri" w:cs="Calibri"/>
                <w:color w:val="000000"/>
                <w:kern w:val="0"/>
                <w:sz w:val="24"/>
                <w:szCs w:val="24"/>
                <w:lang w:eastAsia="en-IN"/>
                <w14:ligatures w14:val="none"/>
              </w:rPr>
              <w:t>Guidelines on Acquisition and Holding of Shares or Voting Rights in Banking Companies</w:t>
            </w:r>
          </w:p>
        </w:tc>
      </w:tr>
      <w:tr w:rsidR="00DD3AE5" w:rsidRPr="00DD3AE5" w14:paraId="01730ED2" w14:textId="77777777" w:rsidTr="00A23CEF">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A3D3D0D" w14:textId="46C47792" w:rsidR="00DD3AE5" w:rsidRPr="00DD3AE5" w:rsidRDefault="00DD3AE5" w:rsidP="00DD3AE5">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497" w:type="dxa"/>
            <w:tcBorders>
              <w:top w:val="nil"/>
              <w:left w:val="nil"/>
              <w:bottom w:val="single" w:sz="4" w:space="0" w:color="auto"/>
              <w:right w:val="single" w:sz="4" w:space="0" w:color="auto"/>
            </w:tcBorders>
            <w:shd w:val="clear" w:color="auto" w:fill="auto"/>
            <w:vAlign w:val="center"/>
            <w:hideMark/>
          </w:tcPr>
          <w:p w14:paraId="0A5BDE7D" w14:textId="77777777" w:rsidR="00DD3AE5" w:rsidRPr="00DD3AE5" w:rsidRDefault="00DD3AE5" w:rsidP="00DD3AE5">
            <w:pPr>
              <w:spacing w:after="0" w:line="240" w:lineRule="auto"/>
              <w:rPr>
                <w:rFonts w:ascii="Calibri" w:eastAsia="Times New Roman" w:hAnsi="Calibri" w:cs="Calibri"/>
                <w:color w:val="000000"/>
                <w:kern w:val="0"/>
                <w:sz w:val="24"/>
                <w:szCs w:val="24"/>
                <w:lang w:eastAsia="en-IN"/>
                <w14:ligatures w14:val="none"/>
              </w:rPr>
            </w:pPr>
            <w:r w:rsidRPr="00DD3AE5">
              <w:rPr>
                <w:rFonts w:ascii="Calibri" w:eastAsia="Times New Roman" w:hAnsi="Calibri" w:cs="Calibri"/>
                <w:color w:val="000000"/>
                <w:kern w:val="0"/>
                <w:sz w:val="24"/>
                <w:szCs w:val="24"/>
                <w:lang w:eastAsia="en-IN"/>
                <w14:ligatures w14:val="none"/>
              </w:rPr>
              <w:t>Introduction of Foreign Contribution (Regulation) Act (FCRA) related transaction code in NEFT and RTGS Systems</w:t>
            </w:r>
          </w:p>
        </w:tc>
      </w:tr>
      <w:tr w:rsidR="00DD3AE5" w:rsidRPr="00DD3AE5" w14:paraId="15B1A714" w14:textId="77777777" w:rsidTr="00A23CEF">
        <w:trPr>
          <w:trHeight w:val="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0C449D" w14:textId="614CA291" w:rsidR="00DD3AE5" w:rsidRPr="00DD3AE5" w:rsidRDefault="00DD3AE5" w:rsidP="00DD3AE5">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497" w:type="dxa"/>
            <w:tcBorders>
              <w:top w:val="nil"/>
              <w:left w:val="nil"/>
              <w:bottom w:val="single" w:sz="4" w:space="0" w:color="auto"/>
              <w:right w:val="single" w:sz="4" w:space="0" w:color="auto"/>
            </w:tcBorders>
            <w:shd w:val="clear" w:color="auto" w:fill="auto"/>
            <w:vAlign w:val="center"/>
            <w:hideMark/>
          </w:tcPr>
          <w:p w14:paraId="0FB108F7" w14:textId="77777777" w:rsidR="00DD3AE5" w:rsidRPr="00DD3AE5" w:rsidRDefault="00DD3AE5" w:rsidP="00DD3AE5">
            <w:pPr>
              <w:spacing w:after="0" w:line="240" w:lineRule="auto"/>
              <w:rPr>
                <w:rFonts w:ascii="Calibri" w:eastAsia="Times New Roman" w:hAnsi="Calibri" w:cs="Calibri"/>
                <w:color w:val="000000"/>
                <w:kern w:val="0"/>
                <w:sz w:val="24"/>
                <w:szCs w:val="24"/>
                <w:lang w:eastAsia="en-IN"/>
                <w14:ligatures w14:val="none"/>
              </w:rPr>
            </w:pPr>
            <w:r w:rsidRPr="00DD3AE5">
              <w:rPr>
                <w:rFonts w:ascii="Calibri" w:eastAsia="Times New Roman" w:hAnsi="Calibri" w:cs="Calibri"/>
                <w:color w:val="000000"/>
                <w:kern w:val="0"/>
                <w:sz w:val="24"/>
                <w:szCs w:val="24"/>
                <w:lang w:eastAsia="en-IN"/>
                <w14:ligatures w14:val="none"/>
              </w:rPr>
              <w:t>Master Circular - Asset Reconstruction Companies</w:t>
            </w:r>
          </w:p>
        </w:tc>
      </w:tr>
    </w:tbl>
    <w:p w14:paraId="6A31F595" w14:textId="77777777" w:rsidR="00DD3AE5" w:rsidRDefault="00DD3AE5" w:rsidP="00DD3AE5">
      <w:pPr>
        <w:rPr>
          <w:lang w:val="en-US"/>
        </w:rPr>
      </w:pPr>
    </w:p>
    <w:p w14:paraId="363EB0DA" w14:textId="77777777" w:rsidR="001F1B69" w:rsidRDefault="001F1B69" w:rsidP="00DD3AE5">
      <w:pPr>
        <w:rPr>
          <w:lang w:val="en-US"/>
        </w:rPr>
      </w:pPr>
    </w:p>
    <w:p w14:paraId="6A4FD985" w14:textId="77777777" w:rsidR="001F1B69" w:rsidRDefault="001F1B69" w:rsidP="00DD3AE5">
      <w:pPr>
        <w:rPr>
          <w:lang w:val="en-US"/>
        </w:rPr>
      </w:pPr>
    </w:p>
    <w:p w14:paraId="281BA77D" w14:textId="77777777" w:rsidR="001F1B69" w:rsidRDefault="001F1B69" w:rsidP="00DD3AE5">
      <w:pPr>
        <w:rPr>
          <w:lang w:val="en-US"/>
        </w:rPr>
      </w:pPr>
      <w:bookmarkStart w:id="0" w:name="_GoBack"/>
      <w:bookmarkEnd w:id="0"/>
    </w:p>
    <w:p w14:paraId="227E792A" w14:textId="77777777" w:rsidR="001F1B69" w:rsidRDefault="001F1B69" w:rsidP="00DD3AE5">
      <w:pPr>
        <w:rPr>
          <w:lang w:val="en-US"/>
        </w:rPr>
      </w:pPr>
    </w:p>
    <w:p w14:paraId="7EB8A137" w14:textId="77777777" w:rsidR="001F1B69" w:rsidRDefault="001F1B69" w:rsidP="00DD3AE5">
      <w:pPr>
        <w:rPr>
          <w:lang w:val="en-US"/>
        </w:rPr>
      </w:pPr>
    </w:p>
    <w:p w14:paraId="0517F44E" w14:textId="77777777" w:rsidR="001F1B69" w:rsidRDefault="001F1B69" w:rsidP="00DD3AE5">
      <w:pPr>
        <w:rPr>
          <w:lang w:val="en-US"/>
        </w:rPr>
      </w:pPr>
    </w:p>
    <w:p w14:paraId="4E98121E" w14:textId="77777777" w:rsidR="001F1B69" w:rsidRDefault="001F1B69" w:rsidP="00DD3AE5">
      <w:pPr>
        <w:rPr>
          <w:lang w:val="en-US"/>
        </w:rPr>
      </w:pPr>
    </w:p>
    <w:p w14:paraId="6FC58C56" w14:textId="77777777" w:rsidR="001F1B69" w:rsidRDefault="001F1B69" w:rsidP="00DD3AE5">
      <w:pPr>
        <w:rPr>
          <w:lang w:val="en-US"/>
        </w:rPr>
      </w:pPr>
    </w:p>
    <w:p w14:paraId="57F39E13" w14:textId="77777777" w:rsidR="001F1B69" w:rsidRDefault="001F1B69" w:rsidP="00DD3AE5">
      <w:pPr>
        <w:rPr>
          <w:lang w:val="en-US"/>
        </w:rPr>
      </w:pPr>
    </w:p>
    <w:p w14:paraId="144F337F" w14:textId="77777777" w:rsidR="001F1B69" w:rsidRDefault="001F1B69" w:rsidP="00DD3AE5">
      <w:pPr>
        <w:rPr>
          <w:lang w:val="en-US"/>
        </w:rPr>
      </w:pPr>
    </w:p>
    <w:p w14:paraId="21FE8153" w14:textId="77777777" w:rsidR="001F1B69" w:rsidRDefault="001F1B69" w:rsidP="00DD3AE5">
      <w:pPr>
        <w:rPr>
          <w:lang w:val="en-US"/>
        </w:rPr>
      </w:pPr>
    </w:p>
    <w:p w14:paraId="0443C9C2" w14:textId="77777777" w:rsidR="001F1B69" w:rsidRDefault="001F1B69" w:rsidP="00DD3AE5">
      <w:pPr>
        <w:rPr>
          <w:lang w:val="en-US"/>
        </w:rPr>
      </w:pPr>
    </w:p>
    <w:p w14:paraId="084263EE" w14:textId="77777777" w:rsidR="001F1B69" w:rsidRDefault="001F1B69" w:rsidP="00DD3AE5">
      <w:pPr>
        <w:rPr>
          <w:lang w:val="en-US"/>
        </w:rPr>
      </w:pPr>
    </w:p>
    <w:p w14:paraId="03DBC2FA" w14:textId="77777777" w:rsidR="001F1B69" w:rsidRDefault="001F1B69" w:rsidP="00DD3AE5">
      <w:pPr>
        <w:rPr>
          <w:lang w:val="en-US"/>
        </w:rPr>
      </w:pPr>
    </w:p>
    <w:p w14:paraId="7463B17B" w14:textId="77777777" w:rsidR="001F1B69" w:rsidRDefault="001F1B69" w:rsidP="00DD3AE5">
      <w:pPr>
        <w:rPr>
          <w:lang w:val="en-US"/>
        </w:rPr>
      </w:pPr>
    </w:p>
    <w:p w14:paraId="2C287678" w14:textId="77777777" w:rsidR="001F1B69" w:rsidRDefault="001F1B69" w:rsidP="00DD3AE5">
      <w:pPr>
        <w:rPr>
          <w:lang w:val="en-US"/>
        </w:rPr>
      </w:pPr>
    </w:p>
    <w:p w14:paraId="1D61600B" w14:textId="77777777" w:rsidR="001F1B69" w:rsidRDefault="001F1B69" w:rsidP="00DD3AE5">
      <w:pPr>
        <w:rPr>
          <w:lang w:val="en-US"/>
        </w:rPr>
      </w:pPr>
    </w:p>
    <w:p w14:paraId="26E53CDD" w14:textId="77777777" w:rsidR="001F1B69" w:rsidRDefault="001F1B69" w:rsidP="00DD3AE5">
      <w:pPr>
        <w:rPr>
          <w:lang w:val="en-US"/>
        </w:rPr>
      </w:pPr>
    </w:p>
    <w:p w14:paraId="5456656A" w14:textId="77777777" w:rsidR="001F1B69" w:rsidRDefault="001F1B69" w:rsidP="00DD3AE5">
      <w:pPr>
        <w:rPr>
          <w:lang w:val="en-US"/>
        </w:rPr>
      </w:pPr>
    </w:p>
    <w:p w14:paraId="1573CE83" w14:textId="77777777" w:rsidR="001F1B69" w:rsidRDefault="001F1B69" w:rsidP="00DD3AE5">
      <w:pPr>
        <w:rPr>
          <w:lang w:val="en-US"/>
        </w:rPr>
      </w:pPr>
    </w:p>
    <w:p w14:paraId="4F09B355" w14:textId="77777777" w:rsidR="001F1B69" w:rsidRDefault="001F1B69" w:rsidP="00DD3AE5">
      <w:pPr>
        <w:rPr>
          <w:lang w:val="en-US"/>
        </w:rPr>
      </w:pPr>
    </w:p>
    <w:p w14:paraId="0764EC06" w14:textId="77777777" w:rsidR="001F1B69" w:rsidRDefault="001F1B69" w:rsidP="00DD3AE5">
      <w:pPr>
        <w:rPr>
          <w:lang w:val="en-US"/>
        </w:rPr>
      </w:pPr>
    </w:p>
    <w:p w14:paraId="3FA3C91E" w14:textId="77777777" w:rsidR="001F1B69" w:rsidRDefault="001F1B69" w:rsidP="00DD3AE5">
      <w:pPr>
        <w:rPr>
          <w:lang w:val="en-US"/>
        </w:rPr>
      </w:pPr>
    </w:p>
    <w:p w14:paraId="71E5AFE5" w14:textId="77777777" w:rsidR="001F1B69" w:rsidRDefault="001F1B69" w:rsidP="001F1B69">
      <w:pPr>
        <w:pStyle w:val="NormalWeb"/>
        <w:rPr>
          <w:rFonts w:ascii="Arial" w:hAnsi="Arial" w:cs="Arial"/>
          <w:bCs/>
          <w:color w:val="000000"/>
          <w:sz w:val="20"/>
          <w:szCs w:val="20"/>
        </w:rPr>
      </w:pPr>
      <w:bookmarkStart w:id="1" w:name="OLE_LINK8"/>
      <w:bookmarkStart w:id="2" w:name="_Hlk141824742"/>
      <w:bookmarkStart w:id="3" w:name="_Hlk141824436"/>
      <w:r>
        <w:rPr>
          <w:rFonts w:ascii="Arial" w:hAnsi="Arial" w:cs="Arial"/>
          <w:b/>
          <w:bCs/>
          <w:color w:val="000000"/>
          <w:sz w:val="20"/>
          <w:szCs w:val="20"/>
        </w:rPr>
        <w:lastRenderedPageBreak/>
        <w:t>Master Direction – Reserve Bank of India (Acquisition and Holding of Shares or Voting Rights in Banking Companies) Directions, 2023</w:t>
      </w:r>
    </w:p>
    <w:bookmarkEnd w:id="1"/>
    <w:p w14:paraId="1399CC1F" w14:textId="77777777" w:rsidR="001F1B69" w:rsidRDefault="001F1B69" w:rsidP="001F1B69">
      <w:pPr>
        <w:rPr>
          <w:rFonts w:ascii="Times New Roman" w:hAnsi="Times New Roman" w:cs="Times New Roman"/>
          <w:sz w:val="24"/>
          <w:szCs w:val="24"/>
        </w:rPr>
      </w:pPr>
    </w:p>
    <w:p w14:paraId="0E387258" w14:textId="77777777" w:rsidR="001F1B69" w:rsidRDefault="001F1B69" w:rsidP="001F1B69">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14:paraId="26874C79" w14:textId="77777777" w:rsidR="001F1B69" w:rsidRDefault="001F1B69" w:rsidP="001F1B69">
      <w:pPr>
        <w:jc w:val="right"/>
        <w:rPr>
          <w:rFonts w:ascii="Arial" w:hAnsi="Arial" w:cs="Arial"/>
          <w:b/>
          <w:bCs/>
          <w:color w:val="000000"/>
          <w:sz w:val="20"/>
          <w:szCs w:val="20"/>
        </w:rPr>
      </w:pPr>
      <w:r>
        <w:rPr>
          <w:rFonts w:ascii="Arial" w:hAnsi="Arial" w:cs="Arial"/>
          <w:b/>
          <w:bCs/>
          <w:color w:val="000000"/>
          <w:sz w:val="20"/>
          <w:szCs w:val="20"/>
        </w:rPr>
        <w:t>January 16, 2023</w:t>
      </w:r>
    </w:p>
    <w:p w14:paraId="2F8D81C5" w14:textId="77777777" w:rsidR="001F1B69" w:rsidRDefault="001F1B69" w:rsidP="001F1B69">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14:paraId="62B824CD"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14:paraId="4D68BC31"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4" w:tgtFrame="_blank" w:history="1">
        <w:r>
          <w:rPr>
            <w:rStyle w:val="Hyperlink"/>
            <w:rFonts w:ascii="Arial" w:hAnsi="Arial" w:cs="Arial"/>
            <w:sz w:val="20"/>
            <w:szCs w:val="20"/>
            <w:u w:val="none"/>
          </w:rPr>
          <w:t>the Guidelines</w:t>
        </w:r>
      </w:hyperlink>
      <w:r>
        <w:rPr>
          <w:rFonts w:ascii="Arial" w:hAnsi="Arial" w:cs="Arial"/>
          <w:color w:val="000000"/>
          <w:sz w:val="20"/>
          <w:szCs w:val="20"/>
        </w:rPr>
        <w:t>).</w:t>
      </w:r>
    </w:p>
    <w:p w14:paraId="460876F9" w14:textId="77777777" w:rsidR="001F1B69" w:rsidRDefault="001F1B69" w:rsidP="001F1B69">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14:paraId="4DC8F9C2" w14:textId="77777777" w:rsidR="001F1B69" w:rsidRDefault="001F1B69" w:rsidP="001F1B69">
      <w:pPr>
        <w:pStyle w:val="NormalWeb"/>
        <w:rPr>
          <w:rFonts w:ascii="Arial" w:hAnsi="Arial" w:cs="Arial"/>
          <w:bCs/>
          <w:color w:val="000000"/>
          <w:sz w:val="20"/>
          <w:szCs w:val="20"/>
        </w:rPr>
      </w:pPr>
    </w:p>
    <w:p w14:paraId="3222765F" w14:textId="77777777" w:rsidR="001F1B69" w:rsidRDefault="001F1B69" w:rsidP="001F1B69">
      <w:pPr>
        <w:pStyle w:val="NormalWeb"/>
        <w:rPr>
          <w:rFonts w:ascii="Arial" w:hAnsi="Arial" w:cs="Arial"/>
          <w:bCs/>
          <w:color w:val="000000"/>
          <w:sz w:val="20"/>
          <w:szCs w:val="20"/>
        </w:rPr>
      </w:pPr>
    </w:p>
    <w:p w14:paraId="6F23EDC1" w14:textId="77777777" w:rsidR="001F1B69" w:rsidRDefault="001F1B69" w:rsidP="001F1B69">
      <w:pPr>
        <w:pStyle w:val="NormalWeb"/>
        <w:rPr>
          <w:rFonts w:ascii="Arial" w:hAnsi="Arial" w:cs="Arial"/>
          <w:bCs/>
          <w:color w:val="000000"/>
          <w:sz w:val="20"/>
          <w:szCs w:val="20"/>
        </w:rPr>
      </w:pPr>
    </w:p>
    <w:p w14:paraId="5064FDBF" w14:textId="77777777" w:rsidR="001F1B69" w:rsidRDefault="001F1B69" w:rsidP="001F1B69">
      <w:pPr>
        <w:pStyle w:val="NormalWeb"/>
        <w:rPr>
          <w:rFonts w:ascii="Arial" w:hAnsi="Arial" w:cs="Arial"/>
          <w:bCs/>
          <w:color w:val="000000"/>
          <w:sz w:val="20"/>
          <w:szCs w:val="20"/>
        </w:rPr>
      </w:pPr>
    </w:p>
    <w:p w14:paraId="4D67734F" w14:textId="77777777" w:rsidR="001F1B69" w:rsidRDefault="001F1B69" w:rsidP="001F1B69">
      <w:r>
        <w:t>More details can be referred to in the below link.</w:t>
      </w:r>
    </w:p>
    <w:p w14:paraId="14BF7F42" w14:textId="77777777" w:rsidR="001F1B69" w:rsidRDefault="001F1B69" w:rsidP="001F1B6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 w:history="1">
        <w:r w:rsidRPr="005F425E">
          <w:rPr>
            <w:rStyle w:val="Hyperlink"/>
            <w:rFonts w:ascii="Arial" w:hAnsi="Arial" w:cs="Arial"/>
            <w:bCs/>
            <w:sz w:val="20"/>
            <w:szCs w:val="20"/>
          </w:rPr>
          <w:t>https://rbi.org.in/Scripts/NotificationUser.aspx?Id=12439&amp;Mode=0</w:t>
        </w:r>
      </w:hyperlink>
    </w:p>
    <w:p w14:paraId="1181CD7D" w14:textId="77777777" w:rsidR="001F1B69" w:rsidRDefault="001F1B69" w:rsidP="001F1B69">
      <w:pPr>
        <w:pStyle w:val="NormalWeb"/>
        <w:rPr>
          <w:rFonts w:ascii="Arial" w:hAnsi="Arial" w:cs="Arial"/>
          <w:bCs/>
          <w:color w:val="000000"/>
          <w:sz w:val="20"/>
          <w:szCs w:val="20"/>
        </w:rPr>
      </w:pPr>
    </w:p>
    <w:p w14:paraId="3BB4E4F7" w14:textId="77777777" w:rsidR="001F1B69" w:rsidRDefault="001F1B69" w:rsidP="001F1B69">
      <w:pPr>
        <w:pStyle w:val="NormalWeb"/>
        <w:rPr>
          <w:rFonts w:ascii="Arial" w:hAnsi="Arial" w:cs="Arial"/>
          <w:bCs/>
          <w:color w:val="000000"/>
          <w:sz w:val="20"/>
          <w:szCs w:val="20"/>
        </w:rPr>
      </w:pPr>
    </w:p>
    <w:p w14:paraId="25C0A62F" w14:textId="77777777" w:rsidR="001F1B69" w:rsidRDefault="001F1B69" w:rsidP="001F1B69">
      <w:pPr>
        <w:pStyle w:val="NormalWeb"/>
        <w:rPr>
          <w:rFonts w:ascii="Arial" w:hAnsi="Arial" w:cs="Arial"/>
          <w:bCs/>
          <w:color w:val="000000"/>
          <w:sz w:val="20"/>
          <w:szCs w:val="20"/>
        </w:rPr>
      </w:pPr>
    </w:p>
    <w:p w14:paraId="6AB4135E" w14:textId="77777777" w:rsidR="001F1B69" w:rsidRDefault="001F1B69" w:rsidP="001F1B69">
      <w:pPr>
        <w:pStyle w:val="NormalWeb"/>
        <w:rPr>
          <w:rFonts w:ascii="Arial" w:hAnsi="Arial" w:cs="Arial"/>
          <w:bCs/>
          <w:color w:val="000000"/>
          <w:sz w:val="20"/>
          <w:szCs w:val="20"/>
        </w:rPr>
      </w:pPr>
    </w:p>
    <w:p w14:paraId="1957E321" w14:textId="77777777" w:rsidR="001F1B69" w:rsidRDefault="001F1B69" w:rsidP="001F1B69">
      <w:pPr>
        <w:pStyle w:val="NormalWeb"/>
        <w:rPr>
          <w:rFonts w:ascii="Arial" w:hAnsi="Arial" w:cs="Arial"/>
          <w:bCs/>
          <w:color w:val="000000"/>
          <w:sz w:val="20"/>
          <w:szCs w:val="20"/>
        </w:rPr>
      </w:pPr>
    </w:p>
    <w:p w14:paraId="5BB124A1" w14:textId="77777777" w:rsidR="001F1B69" w:rsidRDefault="001F1B69" w:rsidP="001F1B69">
      <w:pPr>
        <w:pStyle w:val="NormalWeb"/>
        <w:rPr>
          <w:b/>
        </w:rPr>
      </w:pPr>
    </w:p>
    <w:p w14:paraId="35D724CF" w14:textId="77777777" w:rsidR="001F1B69" w:rsidRDefault="001F1B69" w:rsidP="001F1B69">
      <w:pPr>
        <w:pStyle w:val="NormalWeb"/>
        <w:rPr>
          <w:b/>
        </w:rPr>
      </w:pPr>
    </w:p>
    <w:p w14:paraId="19ABD764" w14:textId="77777777" w:rsidR="001F1B69" w:rsidRDefault="001F1B69" w:rsidP="001F1B69">
      <w:pPr>
        <w:pStyle w:val="NormalWeb"/>
        <w:rPr>
          <w:b/>
        </w:rPr>
      </w:pPr>
    </w:p>
    <w:p w14:paraId="7072E806" w14:textId="77777777" w:rsidR="001F1B69" w:rsidRDefault="001F1B69" w:rsidP="001F1B69">
      <w:pPr>
        <w:pStyle w:val="NormalWeb"/>
        <w:rPr>
          <w:b/>
        </w:rPr>
      </w:pPr>
    </w:p>
    <w:bookmarkEnd w:id="2"/>
    <w:p w14:paraId="033C2013" w14:textId="77777777" w:rsidR="001F1B69" w:rsidRPr="00E1505F" w:rsidRDefault="001F1B69" w:rsidP="001F1B69">
      <w:pPr>
        <w:pStyle w:val="NormalWeb"/>
        <w:rPr>
          <w:b/>
        </w:rPr>
      </w:pPr>
    </w:p>
    <w:p w14:paraId="34A72FFA" w14:textId="77777777" w:rsidR="001F1B69" w:rsidRDefault="001F1B69" w:rsidP="001F1B69">
      <w:pPr>
        <w:pStyle w:val="NormalWeb"/>
        <w:rPr>
          <w:rFonts w:ascii="Arial" w:hAnsi="Arial" w:cs="Arial"/>
          <w:b/>
          <w:bCs/>
          <w:color w:val="000000"/>
          <w:sz w:val="20"/>
          <w:szCs w:val="20"/>
        </w:rPr>
      </w:pPr>
      <w:bookmarkStart w:id="4" w:name="OLE_LINK9"/>
      <w:bookmarkEnd w:id="3"/>
      <w:r>
        <w:rPr>
          <w:rFonts w:ascii="Arial" w:hAnsi="Arial" w:cs="Arial"/>
          <w:b/>
          <w:bCs/>
          <w:color w:val="000000"/>
          <w:sz w:val="20"/>
          <w:szCs w:val="20"/>
        </w:rPr>
        <w:lastRenderedPageBreak/>
        <w:t>Guidelines on Acquisition and Holding of Shares or Voting Rights in Banking Companies</w:t>
      </w:r>
    </w:p>
    <w:p w14:paraId="0CE850B5" w14:textId="77777777" w:rsidR="001F1B69" w:rsidRDefault="001F1B69" w:rsidP="001F1B69">
      <w:pPr>
        <w:pStyle w:val="NormalWeb"/>
        <w:jc w:val="right"/>
        <w:rPr>
          <w:rFonts w:ascii="Arial" w:hAnsi="Arial" w:cs="Arial"/>
          <w:b/>
          <w:bCs/>
          <w:color w:val="000000"/>
          <w:sz w:val="20"/>
          <w:szCs w:val="20"/>
        </w:rPr>
      </w:pPr>
      <w:r>
        <w:rPr>
          <w:rFonts w:ascii="Arial" w:hAnsi="Arial" w:cs="Arial"/>
          <w:b/>
          <w:bCs/>
          <w:color w:val="000000"/>
          <w:sz w:val="20"/>
          <w:szCs w:val="20"/>
        </w:rPr>
        <w:t>January 16, 2023</w:t>
      </w:r>
    </w:p>
    <w:bookmarkEnd w:id="4"/>
    <w:p w14:paraId="476CF3CA"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The contents of these Guidelines shall be read along with </w:t>
      </w:r>
      <w:hyperlink r:id="rId6" w:tgtFrame="_blank" w:history="1">
        <w:r>
          <w:rPr>
            <w:rStyle w:val="Hyperlink"/>
            <w:rFonts w:ascii="Arial" w:hAnsi="Arial" w:cs="Arial"/>
            <w:sz w:val="20"/>
            <w:szCs w:val="20"/>
            <w:u w:val="none"/>
          </w:rPr>
          <w:t>Reserve Bank of India (Acquisition and Holding of Shares or Voting Rights in Banking Companies) Directions, 2023</w:t>
        </w:r>
      </w:hyperlink>
      <w:r>
        <w:rPr>
          <w:rFonts w:ascii="Arial" w:hAnsi="Arial" w:cs="Arial"/>
          <w:color w:val="000000"/>
          <w:sz w:val="20"/>
          <w:szCs w:val="20"/>
        </w:rPr>
        <w:t>, and applicable provisions of the Banking Regulation Act, 1949.</w:t>
      </w:r>
    </w:p>
    <w:p w14:paraId="39D16386" w14:textId="77777777" w:rsidR="001F1B69" w:rsidRDefault="001F1B69" w:rsidP="001F1B69">
      <w:pPr>
        <w:pStyle w:val="head"/>
        <w:jc w:val="both"/>
        <w:rPr>
          <w:rFonts w:ascii="Arial" w:hAnsi="Arial" w:cs="Arial"/>
          <w:b/>
          <w:bCs/>
          <w:color w:val="000000"/>
          <w:sz w:val="20"/>
          <w:szCs w:val="20"/>
        </w:rPr>
      </w:pPr>
      <w:r>
        <w:rPr>
          <w:rFonts w:ascii="Arial" w:hAnsi="Arial" w:cs="Arial"/>
          <w:b/>
          <w:bCs/>
          <w:color w:val="000000"/>
          <w:sz w:val="20"/>
          <w:szCs w:val="20"/>
        </w:rPr>
        <w:t>Prior approval for acquisition of shares or voting rights in a banking company</w:t>
      </w:r>
    </w:p>
    <w:p w14:paraId="30E3EF09"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2. In terms of sub-section (1) of Section 12B of Banking Regulation Act, 1949, every person, who intends to acquire shares or voting rights and intends to be a major shareholder</w:t>
      </w:r>
      <w:hyperlink r:id="rId7" w:anchor="F1" w:history="1">
        <w:r>
          <w:rPr>
            <w:rStyle w:val="Hyperlink"/>
            <w:rFonts w:ascii="Arial" w:hAnsi="Arial" w:cs="Arial"/>
            <w:sz w:val="15"/>
            <w:szCs w:val="15"/>
            <w:u w:val="none"/>
            <w:vertAlign w:val="superscript"/>
          </w:rPr>
          <w:t>1</w:t>
        </w:r>
      </w:hyperlink>
      <w:r>
        <w:rPr>
          <w:rFonts w:ascii="Arial" w:hAnsi="Arial" w:cs="Arial"/>
          <w:color w:val="000000"/>
          <w:sz w:val="20"/>
          <w:szCs w:val="20"/>
        </w:rPr>
        <w:t> of a banking company, is required to obtain previous approval of the Reserve Bank.</w:t>
      </w:r>
    </w:p>
    <w:p w14:paraId="33560091"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3. The person, who intends to be a major shareholder of a banking company, is required to make an application to the Reserve Bank along with the declaration in </w:t>
      </w:r>
      <w:hyperlink r:id="rId8" w:tgtFrame="_blank" w:history="1">
        <w:r>
          <w:rPr>
            <w:rStyle w:val="Hyperlink"/>
            <w:rFonts w:ascii="Arial" w:hAnsi="Arial" w:cs="Arial"/>
            <w:sz w:val="20"/>
            <w:szCs w:val="20"/>
            <w:u w:val="none"/>
          </w:rPr>
          <w:t>Form A</w:t>
        </w:r>
      </w:hyperlink>
      <w:r>
        <w:rPr>
          <w:rFonts w:ascii="Arial" w:hAnsi="Arial" w:cs="Arial"/>
          <w:color w:val="000000"/>
          <w:sz w:val="20"/>
          <w:szCs w:val="20"/>
        </w:rPr>
        <w:t>. The Reserve Bank would undertake a due diligence to assess the ‘fit and proper’ status of the applicant. It will be open to the Reserve Bank to seek additional information / documents from the applicant / concerned banking company and make such enquiries with regulators, revenue authorities, investigation agencies, credit rating agencies or any other persons as considered appropriate.</w:t>
      </w:r>
    </w:p>
    <w:p w14:paraId="05607B6B"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4. While granting approvals, the Reserve Bank may specify conditions under sub-section (4) of Section 12B of B R Act,1949, including a validity period for completing such acquisition. Subsequent to such acquisition, if at any point in time the aggregate holding</w:t>
      </w:r>
      <w:hyperlink r:id="rId9" w:anchor="F2" w:history="1">
        <w:r>
          <w:rPr>
            <w:rStyle w:val="Hyperlink"/>
            <w:rFonts w:ascii="Arial" w:hAnsi="Arial" w:cs="Arial"/>
            <w:sz w:val="15"/>
            <w:szCs w:val="15"/>
            <w:u w:val="none"/>
            <w:vertAlign w:val="superscript"/>
          </w:rPr>
          <w:t>2</w:t>
        </w:r>
      </w:hyperlink>
      <w:r>
        <w:rPr>
          <w:rFonts w:ascii="Arial" w:hAnsi="Arial" w:cs="Arial"/>
          <w:color w:val="000000"/>
          <w:sz w:val="20"/>
          <w:szCs w:val="20"/>
        </w:rPr>
        <w:t> of the person falls below five per cent, as per sub-section (1) of Section 12B of B R Act, 1949, the person will be required to again obtain prior approval from the Reserve Bank to raise the aggregate holding to five per cent or more of total paid-up share capital or voting rights of the banking company.</w:t>
      </w:r>
    </w:p>
    <w:p w14:paraId="616B68F3"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5. Any person who intends to acquire shares or voting rights in a banking company beyond the limit for which approval was obtained from the Reserve Bank, is required to apply to the Reserve Bank for prior approval to increase their aggregate holding in the banking company.</w:t>
      </w:r>
    </w:p>
    <w:p w14:paraId="70A60B24"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6. The persons from</w:t>
      </w:r>
      <w:hyperlink r:id="rId10" w:anchor="F3" w:history="1">
        <w:r>
          <w:rPr>
            <w:rStyle w:val="Hyperlink"/>
            <w:rFonts w:ascii="Arial" w:hAnsi="Arial" w:cs="Arial"/>
            <w:sz w:val="15"/>
            <w:szCs w:val="15"/>
            <w:u w:val="none"/>
            <w:vertAlign w:val="superscript"/>
          </w:rPr>
          <w:t>3</w:t>
        </w:r>
      </w:hyperlink>
      <w:r>
        <w:rPr>
          <w:rFonts w:ascii="Arial" w:hAnsi="Arial" w:cs="Arial"/>
          <w:color w:val="000000"/>
          <w:sz w:val="20"/>
          <w:szCs w:val="20"/>
        </w:rPr>
        <w:t> Financial Action Task Force (FATF) non-compliant jurisdictions</w:t>
      </w:r>
      <w:hyperlink r:id="rId11" w:anchor="F4" w:history="1">
        <w:r>
          <w:rPr>
            <w:rStyle w:val="Hyperlink"/>
            <w:rFonts w:ascii="Arial" w:hAnsi="Arial" w:cs="Arial"/>
            <w:sz w:val="15"/>
            <w:szCs w:val="15"/>
            <w:u w:val="none"/>
            <w:vertAlign w:val="superscript"/>
          </w:rPr>
          <w:t>4</w:t>
        </w:r>
      </w:hyperlink>
      <w:r>
        <w:rPr>
          <w:rFonts w:ascii="Arial" w:hAnsi="Arial" w:cs="Arial"/>
          <w:color w:val="000000"/>
          <w:sz w:val="20"/>
          <w:szCs w:val="20"/>
        </w:rPr>
        <w:t> shall not be permitted to acquire major shareholding in the banking company. However, the existing major shareholders from such FATF non-compliant jurisdictions would be allowed to continue with their investment, provided that there shall not be any further acquisition without prior approval of the Reserve Bank. The Reserve Bank may, however, review the ‘fit and proper’ status of such holders of shares or voting rights at any point of time and may take steps to limit their voting rights in accordance with law.</w:t>
      </w:r>
    </w:p>
    <w:p w14:paraId="2D064E41" w14:textId="77777777" w:rsidR="001F1B69" w:rsidRDefault="001F1B69" w:rsidP="001F1B69">
      <w:pPr>
        <w:pStyle w:val="head"/>
        <w:jc w:val="both"/>
        <w:rPr>
          <w:rFonts w:ascii="Arial" w:hAnsi="Arial" w:cs="Arial"/>
          <w:b/>
          <w:bCs/>
          <w:color w:val="000000"/>
          <w:sz w:val="20"/>
          <w:szCs w:val="20"/>
        </w:rPr>
      </w:pPr>
      <w:r>
        <w:rPr>
          <w:rFonts w:ascii="Arial" w:hAnsi="Arial" w:cs="Arial"/>
          <w:b/>
          <w:bCs/>
          <w:color w:val="000000"/>
          <w:sz w:val="20"/>
          <w:szCs w:val="20"/>
        </w:rPr>
        <w:t>Information to be provided for continuous monitoring</w:t>
      </w:r>
    </w:p>
    <w:p w14:paraId="65F4D5EC"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7. In addition to furnishing the information sought by the banking company, major shareholders who have completed the approved</w:t>
      </w:r>
      <w:hyperlink r:id="rId12" w:anchor="F5" w:history="1">
        <w:r>
          <w:rPr>
            <w:rStyle w:val="Hyperlink"/>
            <w:rFonts w:ascii="Arial" w:hAnsi="Arial" w:cs="Arial"/>
            <w:sz w:val="15"/>
            <w:szCs w:val="15"/>
            <w:u w:val="none"/>
            <w:vertAlign w:val="superscript"/>
          </w:rPr>
          <w:t>5</w:t>
        </w:r>
      </w:hyperlink>
      <w:r>
        <w:rPr>
          <w:rFonts w:ascii="Arial" w:hAnsi="Arial" w:cs="Arial"/>
          <w:color w:val="000000"/>
          <w:sz w:val="20"/>
          <w:szCs w:val="20"/>
        </w:rPr>
        <w:t> acquisition or applicants who have obtained the approval to have major shareholding or applicants who have submitted the application for obtaining the prior approval shall inform the banking company of any change in the information provided in </w:t>
      </w:r>
      <w:hyperlink r:id="rId13" w:tgtFrame="_blank" w:history="1">
        <w:r>
          <w:rPr>
            <w:rStyle w:val="Hyperlink"/>
            <w:rFonts w:ascii="Arial" w:hAnsi="Arial" w:cs="Arial"/>
            <w:sz w:val="20"/>
            <w:szCs w:val="20"/>
            <w:u w:val="none"/>
          </w:rPr>
          <w:t>Form A</w:t>
        </w:r>
      </w:hyperlink>
      <w:r>
        <w:rPr>
          <w:rFonts w:ascii="Arial" w:hAnsi="Arial" w:cs="Arial"/>
          <w:color w:val="000000"/>
          <w:sz w:val="20"/>
          <w:szCs w:val="20"/>
        </w:rPr>
        <w:t> or any other development which may have a bearing on the ‘fit and proper’ status.</w:t>
      </w:r>
    </w:p>
    <w:p w14:paraId="7CBFB56B" w14:textId="77777777" w:rsidR="001F1B69" w:rsidRDefault="001F1B69" w:rsidP="001F1B69">
      <w:pPr>
        <w:pStyle w:val="NormalWeb"/>
        <w:rPr>
          <w:b/>
        </w:rPr>
      </w:pPr>
    </w:p>
    <w:p w14:paraId="619FBF48" w14:textId="77777777" w:rsidR="001F1B69" w:rsidRDefault="001F1B69" w:rsidP="001F1B69">
      <w:pPr>
        <w:pStyle w:val="NormalWeb"/>
        <w:rPr>
          <w:b/>
        </w:rPr>
      </w:pPr>
    </w:p>
    <w:p w14:paraId="487A1F46" w14:textId="77777777" w:rsidR="001F1B69" w:rsidRDefault="001F1B69" w:rsidP="001F1B69">
      <w:r>
        <w:t>More details can be referred to in the below link.</w:t>
      </w:r>
    </w:p>
    <w:p w14:paraId="464576A7" w14:textId="100E8C69" w:rsidR="001F1B69" w:rsidRDefault="001F1B69" w:rsidP="001F1B69">
      <w:pPr>
        <w:rPr>
          <w:rStyle w:val="Hyperlink"/>
          <w:rFonts w:ascii="Arial" w:hAnsi="Arial" w:cs="Arial"/>
          <w:bCs/>
          <w:sz w:val="20"/>
          <w:szCs w:val="20"/>
        </w:rPr>
      </w:pPr>
      <w:r>
        <w:rPr>
          <w:rFonts w:ascii="Arial" w:hAnsi="Arial" w:cs="Arial"/>
          <w:bCs/>
          <w:color w:val="000000"/>
          <w:sz w:val="20"/>
          <w:szCs w:val="20"/>
        </w:rPr>
        <w:t xml:space="preserve">Reference Link: </w:t>
      </w:r>
      <w:hyperlink r:id="rId14" w:history="1">
        <w:r w:rsidRPr="005F425E">
          <w:rPr>
            <w:rStyle w:val="Hyperlink"/>
            <w:rFonts w:ascii="Arial" w:hAnsi="Arial" w:cs="Arial"/>
            <w:bCs/>
            <w:sz w:val="20"/>
            <w:szCs w:val="20"/>
          </w:rPr>
          <w:t>https://rbi.org.in/Scripts/NotificationUser.aspx?Id=12440&amp;Mode=0</w:t>
        </w:r>
      </w:hyperlink>
    </w:p>
    <w:p w14:paraId="353660D7" w14:textId="77777777" w:rsidR="001F1B69" w:rsidRDefault="001F1B69" w:rsidP="001F1B69">
      <w:pPr>
        <w:rPr>
          <w:rStyle w:val="Hyperlink"/>
          <w:rFonts w:ascii="Arial" w:hAnsi="Arial" w:cs="Arial"/>
          <w:bCs/>
          <w:sz w:val="20"/>
          <w:szCs w:val="20"/>
        </w:rPr>
      </w:pPr>
    </w:p>
    <w:p w14:paraId="5E9DBB26" w14:textId="77777777" w:rsidR="001F1B69" w:rsidRDefault="001F1B69" w:rsidP="001F1B69">
      <w:pPr>
        <w:pStyle w:val="NormalWeb"/>
        <w:rPr>
          <w:rFonts w:ascii="Arial" w:hAnsi="Arial" w:cs="Arial"/>
          <w:b/>
          <w:bCs/>
          <w:color w:val="000000"/>
          <w:sz w:val="20"/>
          <w:szCs w:val="20"/>
        </w:rPr>
      </w:pPr>
      <w:bookmarkStart w:id="5" w:name="OLE_LINK22"/>
      <w:bookmarkStart w:id="6" w:name="_Hlk141825690"/>
      <w:r>
        <w:rPr>
          <w:rFonts w:ascii="Arial" w:hAnsi="Arial" w:cs="Arial"/>
          <w:b/>
          <w:bCs/>
          <w:color w:val="000000"/>
          <w:sz w:val="20"/>
          <w:szCs w:val="20"/>
        </w:rPr>
        <w:lastRenderedPageBreak/>
        <w:t>Introduction of Foreign Contribution (Regulation) Act (FCRA) related transaction code in NEFT and RTGS Systems</w:t>
      </w:r>
    </w:p>
    <w:bookmarkEnd w:id="5"/>
    <w:p w14:paraId="64219BC3"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14:paraId="78616473" w14:textId="77777777" w:rsidR="001F1B69" w:rsidRDefault="001F1B69" w:rsidP="001F1B69">
      <w:pPr>
        <w:pStyle w:val="NormalWeb"/>
        <w:jc w:val="right"/>
        <w:rPr>
          <w:rFonts w:ascii="Arial" w:hAnsi="Arial" w:cs="Arial"/>
          <w:color w:val="000000"/>
          <w:sz w:val="20"/>
          <w:szCs w:val="20"/>
        </w:rPr>
      </w:pPr>
      <w:r>
        <w:rPr>
          <w:rFonts w:ascii="Arial" w:hAnsi="Arial" w:cs="Arial"/>
          <w:color w:val="000000"/>
          <w:sz w:val="20"/>
          <w:szCs w:val="20"/>
        </w:rPr>
        <w:t>February 16, 2023</w:t>
      </w:r>
    </w:p>
    <w:p w14:paraId="4B577D19" w14:textId="77777777" w:rsidR="001F1B69" w:rsidRDefault="001F1B69" w:rsidP="001F1B69">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14:paraId="76670284"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Madam / Dear Sir,</w:t>
      </w:r>
    </w:p>
    <w:p w14:paraId="68D88B5F" w14:textId="77777777" w:rsidR="001F1B69" w:rsidRDefault="001F1B69" w:rsidP="001F1B69">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14:paraId="56679A72"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14:paraId="5F9CE692"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14:paraId="2146631B"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15"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14:paraId="2454C426"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14:paraId="62F5A844"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Yours faithfully,</w:t>
      </w:r>
    </w:p>
    <w:p w14:paraId="054516F8" w14:textId="77777777" w:rsidR="001F1B69" w:rsidRDefault="001F1B69" w:rsidP="001F1B69">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468EC88A" w14:textId="77777777" w:rsidR="001F1B69" w:rsidRDefault="001F1B69" w:rsidP="001F1B69">
      <w:pPr>
        <w:pStyle w:val="NormalWeb"/>
        <w:rPr>
          <w:b/>
        </w:rPr>
      </w:pPr>
    </w:p>
    <w:p w14:paraId="6EB0228F" w14:textId="77777777" w:rsidR="001F1B69" w:rsidRDefault="001F1B69" w:rsidP="001F1B69">
      <w:r>
        <w:t>More details can be referred to in the below link.</w:t>
      </w:r>
    </w:p>
    <w:p w14:paraId="762AAC46" w14:textId="77777777" w:rsidR="001F1B69" w:rsidRDefault="001F1B69" w:rsidP="001F1B6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5F425E">
          <w:rPr>
            <w:rStyle w:val="Hyperlink"/>
            <w:rFonts w:ascii="Arial" w:hAnsi="Arial" w:cs="Arial"/>
            <w:bCs/>
            <w:sz w:val="20"/>
            <w:szCs w:val="20"/>
          </w:rPr>
          <w:t>https://rbi.org.in/Scripts/NotificationUser.aspx?Id=12454&amp;Mode=0</w:t>
        </w:r>
      </w:hyperlink>
    </w:p>
    <w:p w14:paraId="5E200206" w14:textId="77777777" w:rsidR="001F1B69" w:rsidRDefault="001F1B69" w:rsidP="001F1B69">
      <w:pPr>
        <w:pStyle w:val="NormalWeb"/>
        <w:rPr>
          <w:rFonts w:ascii="Arial" w:hAnsi="Arial" w:cs="Arial"/>
          <w:bCs/>
          <w:color w:val="000000"/>
          <w:sz w:val="20"/>
          <w:szCs w:val="20"/>
        </w:rPr>
      </w:pPr>
    </w:p>
    <w:p w14:paraId="0CFA7F1E" w14:textId="77777777" w:rsidR="001F1B69" w:rsidRDefault="001F1B69" w:rsidP="001F1B69">
      <w:pPr>
        <w:pStyle w:val="NormalWeb"/>
        <w:rPr>
          <w:rFonts w:ascii="Arial" w:hAnsi="Arial" w:cs="Arial"/>
          <w:bCs/>
          <w:color w:val="000000"/>
          <w:sz w:val="20"/>
          <w:szCs w:val="20"/>
        </w:rPr>
      </w:pPr>
    </w:p>
    <w:p w14:paraId="00EB5AB3" w14:textId="77777777" w:rsidR="001F1B69" w:rsidRDefault="001F1B69" w:rsidP="001F1B69">
      <w:pPr>
        <w:pStyle w:val="NormalWeb"/>
        <w:rPr>
          <w:rFonts w:ascii="Arial" w:hAnsi="Arial" w:cs="Arial"/>
          <w:bCs/>
          <w:color w:val="000000"/>
          <w:sz w:val="20"/>
          <w:szCs w:val="20"/>
        </w:rPr>
      </w:pPr>
    </w:p>
    <w:p w14:paraId="60032C5D" w14:textId="77777777" w:rsidR="001F1B69" w:rsidRDefault="001F1B69" w:rsidP="001F1B69">
      <w:pPr>
        <w:pStyle w:val="NormalWeb"/>
        <w:rPr>
          <w:rFonts w:ascii="Arial" w:hAnsi="Arial" w:cs="Arial"/>
          <w:bCs/>
          <w:color w:val="000000"/>
          <w:sz w:val="20"/>
          <w:szCs w:val="20"/>
        </w:rPr>
      </w:pPr>
    </w:p>
    <w:bookmarkEnd w:id="6"/>
    <w:p w14:paraId="38B8B64D" w14:textId="77777777" w:rsidR="001F1B69" w:rsidRDefault="001F1B69" w:rsidP="001F1B69">
      <w:pPr>
        <w:rPr>
          <w:lang w:val="en-US"/>
        </w:rPr>
      </w:pPr>
    </w:p>
    <w:p w14:paraId="630D37EA" w14:textId="77777777" w:rsidR="001F1B69" w:rsidRDefault="001F1B69" w:rsidP="001F1B69">
      <w:pPr>
        <w:pStyle w:val="NormalWeb"/>
        <w:rPr>
          <w:rFonts w:ascii="Arial" w:hAnsi="Arial" w:cs="Arial"/>
          <w:b/>
          <w:bCs/>
          <w:color w:val="000000"/>
          <w:sz w:val="20"/>
          <w:szCs w:val="20"/>
        </w:rPr>
      </w:pPr>
      <w:bookmarkStart w:id="7" w:name="OLE_LINK53"/>
      <w:bookmarkStart w:id="8" w:name="_Hlk141825146"/>
      <w:r>
        <w:rPr>
          <w:rFonts w:ascii="Arial" w:hAnsi="Arial" w:cs="Arial"/>
          <w:b/>
          <w:bCs/>
          <w:color w:val="000000"/>
          <w:sz w:val="20"/>
          <w:szCs w:val="20"/>
        </w:rPr>
        <w:lastRenderedPageBreak/>
        <w:t>Master Circular - Asset Reconstruction Companies</w:t>
      </w:r>
    </w:p>
    <w:bookmarkEnd w:id="7"/>
    <w:p w14:paraId="0D27046C"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RBI/2023-24/12</w:t>
      </w:r>
      <w:r>
        <w:rPr>
          <w:rFonts w:ascii="Arial" w:hAnsi="Arial" w:cs="Arial"/>
          <w:color w:val="000000"/>
          <w:sz w:val="20"/>
          <w:szCs w:val="20"/>
        </w:rPr>
        <w:br/>
        <w:t>DOR.SIG.FIN.REC 8/26.03.001/2023-24</w:t>
      </w:r>
    </w:p>
    <w:p w14:paraId="2CE152BE" w14:textId="77777777" w:rsidR="001F1B69" w:rsidRDefault="001F1B69" w:rsidP="001F1B69">
      <w:pPr>
        <w:pStyle w:val="NormalWeb"/>
        <w:jc w:val="right"/>
        <w:rPr>
          <w:rFonts w:ascii="Arial" w:hAnsi="Arial" w:cs="Arial"/>
          <w:color w:val="000000"/>
          <w:sz w:val="20"/>
          <w:szCs w:val="20"/>
        </w:rPr>
      </w:pPr>
      <w:r>
        <w:rPr>
          <w:rFonts w:ascii="Arial" w:hAnsi="Arial" w:cs="Arial"/>
          <w:color w:val="000000"/>
          <w:sz w:val="20"/>
          <w:szCs w:val="20"/>
        </w:rPr>
        <w:t>April 03, 2023</w:t>
      </w:r>
    </w:p>
    <w:p w14:paraId="5B2FFCA4"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14:paraId="5AFC1391"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Dear Sir/Madam,</w:t>
      </w:r>
    </w:p>
    <w:p w14:paraId="13878269" w14:textId="77777777" w:rsidR="001F1B69" w:rsidRDefault="001F1B69" w:rsidP="001F1B69">
      <w:pPr>
        <w:pStyle w:val="head"/>
        <w:jc w:val="center"/>
        <w:rPr>
          <w:rFonts w:ascii="Arial" w:hAnsi="Arial" w:cs="Arial"/>
          <w:b/>
          <w:bCs/>
          <w:color w:val="000000"/>
          <w:sz w:val="20"/>
          <w:szCs w:val="20"/>
        </w:rPr>
      </w:pPr>
      <w:r>
        <w:rPr>
          <w:rFonts w:ascii="Arial" w:hAnsi="Arial" w:cs="Arial"/>
          <w:b/>
          <w:bCs/>
          <w:color w:val="000000"/>
          <w:sz w:val="20"/>
          <w:szCs w:val="20"/>
        </w:rPr>
        <w:t>Master Circular - Asset Reconstruction Companies</w:t>
      </w:r>
    </w:p>
    <w:p w14:paraId="50A2BCBA" w14:textId="77777777" w:rsidR="001F1B69" w:rsidRDefault="001F1B69" w:rsidP="001F1B69">
      <w:pPr>
        <w:pStyle w:val="NormalWeb"/>
        <w:jc w:val="both"/>
        <w:rPr>
          <w:rFonts w:ascii="Arial" w:hAnsi="Arial" w:cs="Arial"/>
          <w:color w:val="000000"/>
          <w:sz w:val="20"/>
          <w:szCs w:val="20"/>
        </w:rPr>
      </w:pPr>
      <w:r>
        <w:rPr>
          <w:rFonts w:ascii="Arial" w:hAnsi="Arial" w:cs="Arial"/>
          <w:color w:val="000000"/>
          <w:sz w:val="20"/>
          <w:szCs w:val="20"/>
        </w:rPr>
        <w:t>In order to have all current instructions/ guidelines on the subject at one place, the Reserve Bank of India issues updated </w:t>
      </w:r>
      <w:hyperlink r:id="rId17" w:anchor="MC1" w:history="1">
        <w:r>
          <w:rPr>
            <w:rStyle w:val="Hyperlink"/>
            <w:rFonts w:ascii="Arial" w:hAnsi="Arial" w:cs="Arial"/>
            <w:sz w:val="20"/>
            <w:szCs w:val="20"/>
          </w:rPr>
          <w:t>circulars/ guidelines</w:t>
        </w:r>
      </w:hyperlink>
      <w:r>
        <w:rPr>
          <w:rFonts w:ascii="Arial" w:hAnsi="Arial" w:cs="Arial"/>
          <w:color w:val="000000"/>
          <w:sz w:val="20"/>
          <w:szCs w:val="20"/>
        </w:rPr>
        <w:t>. The instructions contained in The Asset Reconstruction Companies (Reserve Bank) Guidelines and Directions, 2003 (vide </w:t>
      </w:r>
      <w:hyperlink r:id="rId18" w:tgtFrame="_blank" w:history="1">
        <w:r>
          <w:rPr>
            <w:rStyle w:val="Hyperlink"/>
            <w:rFonts w:ascii="Arial" w:hAnsi="Arial" w:cs="Arial"/>
            <w:sz w:val="20"/>
            <w:szCs w:val="20"/>
          </w:rPr>
          <w:t>Notification No. DNBS.2/CGM(CSM)-2003, dated April 23, 2003</w:t>
        </w:r>
      </w:hyperlink>
      <w:r>
        <w:rPr>
          <w:rFonts w:ascii="Arial" w:hAnsi="Arial" w:cs="Arial"/>
          <w:color w:val="000000"/>
          <w:sz w:val="20"/>
          <w:szCs w:val="20"/>
        </w:rPr>
        <w:t>) together with </w:t>
      </w:r>
      <w:hyperlink r:id="rId19" w:anchor="GuidanceNotes" w:history="1">
        <w:r>
          <w:rPr>
            <w:rStyle w:val="Hyperlink"/>
            <w:rFonts w:ascii="Arial" w:hAnsi="Arial" w:cs="Arial"/>
            <w:sz w:val="20"/>
            <w:szCs w:val="20"/>
          </w:rPr>
          <w:t>Guidance Notes</w:t>
        </w:r>
      </w:hyperlink>
      <w:r>
        <w:rPr>
          <w:rFonts w:ascii="Arial" w:hAnsi="Arial" w:cs="Arial"/>
          <w:color w:val="000000"/>
          <w:sz w:val="20"/>
          <w:szCs w:val="20"/>
        </w:rPr>
        <w:t> updated as on March 31, 2023 are reproduced below.</w:t>
      </w:r>
    </w:p>
    <w:p w14:paraId="0E2F0975" w14:textId="77777777" w:rsidR="001F1B69" w:rsidRDefault="001F1B69" w:rsidP="001F1B69">
      <w:pPr>
        <w:pStyle w:val="NormalWeb"/>
        <w:jc w:val="right"/>
        <w:rPr>
          <w:rFonts w:ascii="Arial" w:hAnsi="Arial" w:cs="Arial"/>
          <w:color w:val="000000"/>
          <w:sz w:val="20"/>
          <w:szCs w:val="20"/>
        </w:rPr>
      </w:pPr>
      <w:r>
        <w:rPr>
          <w:rFonts w:ascii="Arial" w:hAnsi="Arial" w:cs="Arial"/>
          <w:color w:val="000000"/>
          <w:sz w:val="20"/>
          <w:szCs w:val="20"/>
        </w:rPr>
        <w:t>Yours faithfully,</w:t>
      </w:r>
    </w:p>
    <w:p w14:paraId="3D8A97D5" w14:textId="77777777" w:rsidR="001F1B69" w:rsidRDefault="001F1B69" w:rsidP="001F1B69">
      <w:pPr>
        <w:pStyle w:val="NormalWeb"/>
        <w:jc w:val="right"/>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14:paraId="08EFA76A" w14:textId="77777777" w:rsidR="001F1B69" w:rsidRDefault="001F1B69" w:rsidP="001F1B69">
      <w:pPr>
        <w:pStyle w:val="NormalWeb"/>
        <w:rPr>
          <w:rFonts w:ascii="Arial" w:hAnsi="Arial" w:cs="Arial"/>
          <w:bCs/>
          <w:color w:val="000000"/>
          <w:sz w:val="20"/>
          <w:szCs w:val="20"/>
        </w:rPr>
      </w:pPr>
    </w:p>
    <w:p w14:paraId="6CF64999" w14:textId="77777777" w:rsidR="001F1B69" w:rsidRDefault="001F1B69" w:rsidP="001F1B69">
      <w:r>
        <w:t>More details can be referred to in the below link.</w:t>
      </w:r>
    </w:p>
    <w:p w14:paraId="3F726659" w14:textId="77777777" w:rsidR="001F1B69" w:rsidRDefault="001F1B69" w:rsidP="001F1B6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5F425E">
          <w:rPr>
            <w:rStyle w:val="Hyperlink"/>
            <w:rFonts w:ascii="Arial" w:hAnsi="Arial" w:cs="Arial"/>
            <w:bCs/>
            <w:sz w:val="20"/>
            <w:szCs w:val="20"/>
          </w:rPr>
          <w:t>https://rbi.org.in/Scripts/NotificationUser.aspx?Id=12484&amp;Mode=0</w:t>
        </w:r>
      </w:hyperlink>
    </w:p>
    <w:p w14:paraId="22CD303D" w14:textId="77777777" w:rsidR="001F1B69" w:rsidRDefault="001F1B69" w:rsidP="001F1B69">
      <w:pPr>
        <w:pStyle w:val="NormalWeb"/>
        <w:rPr>
          <w:rFonts w:ascii="Arial" w:hAnsi="Arial" w:cs="Arial"/>
          <w:bCs/>
          <w:color w:val="000000"/>
          <w:sz w:val="20"/>
          <w:szCs w:val="20"/>
        </w:rPr>
      </w:pPr>
    </w:p>
    <w:p w14:paraId="34C047B6" w14:textId="77777777" w:rsidR="001F1B69" w:rsidRDefault="001F1B69" w:rsidP="001F1B69">
      <w:pPr>
        <w:pStyle w:val="NormalWeb"/>
        <w:rPr>
          <w:rFonts w:ascii="Arial" w:hAnsi="Arial" w:cs="Arial"/>
          <w:bCs/>
          <w:color w:val="000000"/>
          <w:sz w:val="20"/>
          <w:szCs w:val="20"/>
        </w:rPr>
      </w:pPr>
    </w:p>
    <w:p w14:paraId="4F8BE9C2" w14:textId="77777777" w:rsidR="001F1B69" w:rsidRDefault="001F1B69" w:rsidP="001F1B69">
      <w:pPr>
        <w:pStyle w:val="NormalWeb"/>
        <w:rPr>
          <w:rFonts w:ascii="Arial" w:hAnsi="Arial" w:cs="Arial"/>
          <w:bCs/>
          <w:color w:val="000000"/>
          <w:sz w:val="20"/>
          <w:szCs w:val="20"/>
        </w:rPr>
      </w:pPr>
    </w:p>
    <w:p w14:paraId="45938CBF" w14:textId="77777777" w:rsidR="001F1B69" w:rsidRDefault="001F1B69" w:rsidP="001F1B69">
      <w:pPr>
        <w:pStyle w:val="NormalWeb"/>
        <w:rPr>
          <w:rFonts w:ascii="Arial" w:hAnsi="Arial" w:cs="Arial"/>
          <w:bCs/>
          <w:color w:val="000000"/>
          <w:sz w:val="20"/>
          <w:szCs w:val="20"/>
        </w:rPr>
      </w:pPr>
    </w:p>
    <w:p w14:paraId="488B49FC" w14:textId="77777777" w:rsidR="001F1B69" w:rsidRDefault="001F1B69" w:rsidP="001F1B69">
      <w:pPr>
        <w:pStyle w:val="NormalWeb"/>
        <w:rPr>
          <w:rFonts w:ascii="Arial" w:hAnsi="Arial" w:cs="Arial"/>
          <w:bCs/>
          <w:color w:val="000000"/>
          <w:sz w:val="20"/>
          <w:szCs w:val="20"/>
        </w:rPr>
      </w:pPr>
    </w:p>
    <w:p w14:paraId="22A23725" w14:textId="77777777" w:rsidR="001F1B69" w:rsidRDefault="001F1B69" w:rsidP="001F1B69">
      <w:pPr>
        <w:pStyle w:val="NormalWeb"/>
        <w:rPr>
          <w:rFonts w:ascii="Arial" w:hAnsi="Arial" w:cs="Arial"/>
          <w:bCs/>
          <w:color w:val="000000"/>
          <w:sz w:val="20"/>
          <w:szCs w:val="20"/>
        </w:rPr>
      </w:pPr>
    </w:p>
    <w:p w14:paraId="442A3DD0" w14:textId="77777777" w:rsidR="001F1B69" w:rsidRDefault="001F1B69" w:rsidP="001F1B69">
      <w:pPr>
        <w:pStyle w:val="NormalWeb"/>
        <w:rPr>
          <w:rFonts w:ascii="Arial" w:hAnsi="Arial" w:cs="Arial"/>
          <w:bCs/>
          <w:color w:val="000000"/>
          <w:sz w:val="20"/>
          <w:szCs w:val="20"/>
        </w:rPr>
      </w:pPr>
    </w:p>
    <w:p w14:paraId="23923752" w14:textId="77777777" w:rsidR="001F1B69" w:rsidRDefault="001F1B69" w:rsidP="001F1B69">
      <w:pPr>
        <w:pStyle w:val="NormalWeb"/>
        <w:rPr>
          <w:rFonts w:ascii="Arial" w:hAnsi="Arial" w:cs="Arial"/>
          <w:bCs/>
          <w:color w:val="000000"/>
          <w:sz w:val="20"/>
          <w:szCs w:val="20"/>
        </w:rPr>
      </w:pPr>
    </w:p>
    <w:p w14:paraId="3B6107B3" w14:textId="77777777" w:rsidR="001F1B69" w:rsidRDefault="001F1B69" w:rsidP="001F1B69">
      <w:pPr>
        <w:pStyle w:val="NormalWeb"/>
        <w:rPr>
          <w:rFonts w:ascii="Arial" w:hAnsi="Arial" w:cs="Arial"/>
          <w:bCs/>
          <w:color w:val="000000"/>
          <w:sz w:val="20"/>
          <w:szCs w:val="20"/>
        </w:rPr>
      </w:pPr>
    </w:p>
    <w:p w14:paraId="14713FBD" w14:textId="77777777" w:rsidR="001F1B69" w:rsidRDefault="001F1B69" w:rsidP="001F1B69">
      <w:pPr>
        <w:pStyle w:val="NormalWeb"/>
        <w:rPr>
          <w:rFonts w:ascii="Arial" w:hAnsi="Arial" w:cs="Arial"/>
          <w:bCs/>
          <w:color w:val="000000"/>
          <w:sz w:val="20"/>
          <w:szCs w:val="20"/>
        </w:rPr>
      </w:pPr>
    </w:p>
    <w:p w14:paraId="57A6E3BD" w14:textId="77777777" w:rsidR="001F1B69" w:rsidRDefault="001F1B69" w:rsidP="001F1B69">
      <w:pPr>
        <w:pStyle w:val="NormalWeb"/>
        <w:rPr>
          <w:rFonts w:ascii="Arial" w:hAnsi="Arial" w:cs="Arial"/>
          <w:bCs/>
          <w:color w:val="000000"/>
          <w:sz w:val="20"/>
          <w:szCs w:val="20"/>
        </w:rPr>
      </w:pPr>
    </w:p>
    <w:p w14:paraId="387BBEB3" w14:textId="77777777" w:rsidR="001F1B69" w:rsidRDefault="001F1B69" w:rsidP="001F1B69">
      <w:pPr>
        <w:pStyle w:val="NormalWeb"/>
        <w:rPr>
          <w:rFonts w:ascii="Arial" w:hAnsi="Arial" w:cs="Arial"/>
          <w:bCs/>
          <w:color w:val="000000"/>
          <w:sz w:val="20"/>
          <w:szCs w:val="20"/>
        </w:rPr>
      </w:pPr>
    </w:p>
    <w:bookmarkEnd w:id="8"/>
    <w:p w14:paraId="7DC33055" w14:textId="77777777" w:rsidR="001F1B69" w:rsidRDefault="001F1B69" w:rsidP="001F1B69">
      <w:pPr>
        <w:rPr>
          <w:lang w:val="en-US"/>
        </w:rPr>
      </w:pPr>
    </w:p>
    <w:sectPr w:rsidR="001F1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02"/>
    <w:rsid w:val="001C3B05"/>
    <w:rsid w:val="001F1B69"/>
    <w:rsid w:val="004E486E"/>
    <w:rsid w:val="00867037"/>
    <w:rsid w:val="00904902"/>
    <w:rsid w:val="00A23CEF"/>
    <w:rsid w:val="00CA0BE2"/>
    <w:rsid w:val="00DD3A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B3AA"/>
  <w15:chartTrackingRefBased/>
  <w15:docId w15:val="{853B51C0-34AF-4D4C-9EC0-C1EEB107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B6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1F1B6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1F1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FORMA16012023_A.pdf" TargetMode="External"/><Relationship Id="rId13" Type="http://schemas.openxmlformats.org/officeDocument/2006/relationships/hyperlink" Target="https://rbidocs.rbi.org.in/rdocs/content/pdfs/FORMA16012023_A.pdf" TargetMode="External"/><Relationship Id="rId18" Type="http://schemas.openxmlformats.org/officeDocument/2006/relationships/hyperlink" Target="https://www.rbi.org.in/Scripts/NotificationUser.aspx?Id=1145&amp;Mode=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bi.org.in/Scripts/NotificationUser.aspx?Id=12440&amp;Mode=0" TargetMode="External"/><Relationship Id="rId12" Type="http://schemas.openxmlformats.org/officeDocument/2006/relationships/hyperlink" Target="https://rbi.org.in/Scripts/NotificationUser.aspx?Id=12440&amp;Mode=0" TargetMode="External"/><Relationship Id="rId17" Type="http://schemas.openxmlformats.org/officeDocument/2006/relationships/hyperlink" Target="https://rbi.org.in/Scripts/NotificationUser.aspx?Id=12484&amp;Mode=0" TargetMode="External"/><Relationship Id="rId2" Type="http://schemas.openxmlformats.org/officeDocument/2006/relationships/settings" Target="settings.xml"/><Relationship Id="rId16" Type="http://schemas.openxmlformats.org/officeDocument/2006/relationships/hyperlink" Target="https://rbi.org.in/Scripts/NotificationUser.aspx?Id=12454&amp;Mode=0" TargetMode="External"/><Relationship Id="rId20" Type="http://schemas.openxmlformats.org/officeDocument/2006/relationships/hyperlink" Target="https://rbi.org.in/Scripts/NotificationUser.aspx?Id=12484&amp;Mode=0" TargetMode="External"/><Relationship Id="rId1" Type="http://schemas.openxmlformats.org/officeDocument/2006/relationships/styles" Target="styles.xml"/><Relationship Id="rId6" Type="http://schemas.openxmlformats.org/officeDocument/2006/relationships/hyperlink" Target="https://rbi.org.in/Scripts/BS_ViewMasDirections.aspx?id=12439" TargetMode="External"/><Relationship Id="rId11" Type="http://schemas.openxmlformats.org/officeDocument/2006/relationships/hyperlink" Target="https://rbi.org.in/Scripts/NotificationUser.aspx?Id=12440&amp;Mode=0" TargetMode="External"/><Relationship Id="rId5" Type="http://schemas.openxmlformats.org/officeDocument/2006/relationships/hyperlink" Target="https://rbi.org.in/Scripts/NotificationUser.aspx?Id=12439&amp;Mode=0" TargetMode="External"/><Relationship Id="rId15" Type="http://schemas.openxmlformats.org/officeDocument/2006/relationships/hyperlink" Target="https://rbi.org.in/Scripts/NotificationUser.aspx?Id=12454&amp;Mode=0" TargetMode="External"/><Relationship Id="rId10" Type="http://schemas.openxmlformats.org/officeDocument/2006/relationships/hyperlink" Target="https://rbi.org.in/Scripts/NotificationUser.aspx?Id=12440&amp;Mode=0" TargetMode="External"/><Relationship Id="rId19" Type="http://schemas.openxmlformats.org/officeDocument/2006/relationships/hyperlink" Target="https://rbi.org.in/Scripts/NotificationUser.aspx?Id=12484&amp;Mode=0" TargetMode="External"/><Relationship Id="rId4" Type="http://schemas.openxmlformats.org/officeDocument/2006/relationships/hyperlink" Target="https://rbi.org.in/Scripts/NotificationUser.aspx?Id=12440&amp;Mode=0" TargetMode="External"/><Relationship Id="rId9" Type="http://schemas.openxmlformats.org/officeDocument/2006/relationships/hyperlink" Target="https://rbi.org.in/Scripts/NotificationUser.aspx?Id=12440&amp;Mode=0" TargetMode="External"/><Relationship Id="rId14" Type="http://schemas.openxmlformats.org/officeDocument/2006/relationships/hyperlink" Target="https://rbi.org.in/Scripts/NotificationUser.aspx?Id=12440&amp;Mode=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1363</Words>
  <Characters>7771</Characters>
  <Application>Microsoft Office Word</Application>
  <DocSecurity>0</DocSecurity>
  <Lines>64</Lines>
  <Paragraphs>18</Paragraphs>
  <ScaleCrop>false</ScaleCrop>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7</cp:revision>
  <dcterms:created xsi:type="dcterms:W3CDTF">2023-08-01T15:33:00Z</dcterms:created>
  <dcterms:modified xsi:type="dcterms:W3CDTF">2023-08-02T05:01:00Z</dcterms:modified>
</cp:coreProperties>
</file>